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DA4E55">
            <w:pPr>
              <w:jc w:val="both"/>
              <w:rPr>
                <w:rFonts w:ascii="Arial" w:hAnsi="Arial"/>
                <w:b/>
                <w:bCs/>
                <w:sz w:val="26"/>
                <w:szCs w:val="26"/>
              </w:rPr>
            </w:pPr>
            <w:r w:rsidRPr="002E5258">
              <w:rPr>
                <w:rFonts w:ascii="Arial" w:hAnsi="Arial" w:hint="cs"/>
                <w:b/>
                <w:bCs/>
                <w:sz w:val="26"/>
                <w:szCs w:val="26"/>
                <w:rtl/>
              </w:rPr>
              <w:t>ל</w:t>
            </w:r>
            <w:r w:rsidR="0094424E"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D11F5C" w:rsidRDefault="000C6EF2">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443A69" w:rsidP="000C6EF2">
            <w:pPr>
              <w:rPr>
                <w:sz w:val="26"/>
                <w:szCs w:val="26"/>
                <w:rtl/>
              </w:rPr>
            </w:pPr>
            <w:sdt>
              <w:sdtPr>
                <w:rPr>
                  <w:sz w:val="26"/>
                  <w:szCs w:val="26"/>
                  <w:rtl/>
                </w:rPr>
                <w:alias w:val="1478"/>
                <w:tag w:val="1478"/>
                <w:id w:val="-2076122985"/>
                <w:text w:multiLine="1"/>
              </w:sdtPr>
              <w:sdtEndPr/>
              <w:sdtContent>
                <w:r w:rsidR="000C6EF2">
                  <w:rPr>
                    <w:rFonts w:ascii="Arial" w:hAnsi="Arial" w:hint="cs"/>
                    <w:b/>
                    <w:bCs/>
                    <w:noProof w:val="0"/>
                    <w:sz w:val="26"/>
                    <w:szCs w:val="26"/>
                    <w:rtl/>
                  </w:rPr>
                  <w:t>פלונית</w:t>
                </w:r>
              </w:sdtContent>
            </w:sdt>
          </w:p>
          <w:p w:rsidR="0094424E" w:rsidRPr="002E5258" w:rsidRDefault="000C6EF2" w:rsidP="000C6EF2">
            <w:pPr>
              <w:rPr>
                <w:b/>
                <w:bCs/>
                <w:noProof w:val="0"/>
                <w:sz w:val="26"/>
                <w:szCs w:val="26"/>
              </w:rPr>
            </w:pPr>
            <w:r>
              <w:rPr>
                <w:rFonts w:hint="cs"/>
                <w:sz w:val="26"/>
                <w:szCs w:val="26"/>
                <w:rtl/>
              </w:rPr>
              <w:t>ע"י ב"כ עו"ד שמואל מורן וגיא אופיר</w:t>
            </w:r>
          </w:p>
        </w:tc>
      </w:tr>
      <w:tr w:rsidR="0094424E" w:rsidRPr="002E5258">
        <w:trPr>
          <w:jc w:val="center"/>
        </w:trPr>
        <w:tc>
          <w:tcPr>
            <w:tcW w:w="8820" w:type="dxa"/>
            <w:gridSpan w:val="3"/>
          </w:tcPr>
          <w:p w:rsidR="0094424E" w:rsidRPr="000C6EF2"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443A69">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443A69">
            <w:pPr>
              <w:rPr>
                <w:sz w:val="26"/>
                <w:szCs w:val="26"/>
                <w:rtl/>
              </w:rPr>
            </w:pPr>
            <w:sdt>
              <w:sdtPr>
                <w:rPr>
                  <w:sz w:val="26"/>
                  <w:szCs w:val="26"/>
                  <w:rtl/>
                </w:rPr>
                <w:alias w:val="1486"/>
                <w:tag w:val="1486"/>
                <w:id w:val="-309872140"/>
                <w:text w:multiLine="1"/>
              </w:sdtPr>
              <w:sdtEndPr/>
              <w:sdtContent>
                <w:r w:rsidR="000C6EF2">
                  <w:rPr>
                    <w:rFonts w:ascii="Arial" w:hAnsi="Arial" w:hint="cs"/>
                    <w:b/>
                    <w:bCs/>
                    <w:noProof w:val="0"/>
                    <w:sz w:val="26"/>
                    <w:szCs w:val="26"/>
                    <w:rtl/>
                  </w:rPr>
                  <w:t>אלמוני</w:t>
                </w:r>
              </w:sdtContent>
            </w:sdt>
          </w:p>
          <w:p w:rsidR="0094424E" w:rsidRPr="002E5258" w:rsidRDefault="000C6EF2">
            <w:pPr>
              <w:rPr>
                <w:b/>
                <w:bCs/>
                <w:noProof w:val="0"/>
                <w:sz w:val="26"/>
                <w:szCs w:val="26"/>
                <w:rtl/>
              </w:rPr>
            </w:pPr>
            <w:r>
              <w:rPr>
                <w:rFonts w:hint="cs"/>
                <w:sz w:val="26"/>
                <w:szCs w:val="26"/>
                <w:rtl/>
              </w:rPr>
              <w:t>ע"י ב"כ עו"ד ליז קרני</w:t>
            </w:r>
          </w:p>
        </w:tc>
      </w:tr>
    </w:tbl>
    <w:p w:rsidR="0094424E" w:rsidRPr="000C6EF2" w:rsidRDefault="0094424E" w:rsidP="0094424E">
      <w:pPr>
        <w:rPr>
          <w:rtl/>
        </w:rPr>
      </w:pPr>
    </w:p>
    <w:p w:rsidR="0094424E" w:rsidRDefault="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0C6EF2" w:rsidRDefault="000C6EF2" w:rsidP="000C6EF2">
      <w:pPr>
        <w:spacing w:line="360" w:lineRule="auto"/>
        <w:jc w:val="both"/>
        <w:rPr>
          <w:rFonts w:ascii="David" w:hAnsi="David"/>
          <w:rtl/>
        </w:rPr>
      </w:pPr>
      <w:r>
        <w:rPr>
          <w:rFonts w:ascii="David" w:hAnsi="David"/>
          <w:rtl/>
        </w:rPr>
        <w:t>בקשת רשות ערעור על החלטת בית המשפט לענייני משפחה (כב' סגנית הנשיא השופטת מירה דהן, בתלה"מ 50935-02-23), מיום 3.4.2023 שדחתה</w:t>
      </w:r>
      <w:r w:rsidR="005920F8">
        <w:rPr>
          <w:rFonts w:ascii="David" w:hAnsi="David" w:hint="cs"/>
          <w:rtl/>
        </w:rPr>
        <w:t xml:space="preserve"> את</w:t>
      </w:r>
      <w:r>
        <w:rPr>
          <w:rFonts w:ascii="David" w:hAnsi="David"/>
          <w:rtl/>
        </w:rPr>
        <w:t xml:space="preserve"> בקשת המבקשת לקבלת משמורת זמנית על בנם המשותף של הצדדים.</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b/>
          <w:bCs/>
          <w:u w:val="single"/>
          <w:rtl/>
        </w:rPr>
      </w:pPr>
      <w:r>
        <w:rPr>
          <w:rFonts w:ascii="David" w:hAnsi="David"/>
          <w:b/>
          <w:bCs/>
          <w:u w:val="single"/>
          <w:rtl/>
        </w:rPr>
        <w:t>העובדות הצריכות לעניין</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 xml:space="preserve">הצדדים הן בני זוג שנשאו בשנת 2018 ובחודש יוני 2022 נולד בנם, שהיה בן 9 חודשים במועד מתן ההחלטה מושא הבר"ע (להלן: </w:t>
      </w:r>
      <w:r>
        <w:rPr>
          <w:rFonts w:ascii="David" w:hAnsi="David"/>
          <w:b/>
          <w:bCs/>
          <w:rtl/>
        </w:rPr>
        <w:t>הקטין</w:t>
      </w:r>
      <w:r>
        <w:rPr>
          <w:rFonts w:ascii="David" w:hAnsi="David"/>
          <w:rtl/>
        </w:rPr>
        <w:t>).</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במהלך תקופת הנישואין ואף כשנה קודם לכן התגוררו הצדדים יחדיו בדירה שכורה בעיר חולון.</w:t>
      </w:r>
    </w:p>
    <w:p w:rsidR="000C6EF2" w:rsidRDefault="000C6EF2" w:rsidP="000C6EF2">
      <w:pPr>
        <w:spacing w:line="360" w:lineRule="auto"/>
        <w:jc w:val="both"/>
        <w:rPr>
          <w:rFonts w:ascii="David" w:hAnsi="David"/>
          <w:rtl/>
        </w:rPr>
      </w:pPr>
    </w:p>
    <w:p w:rsidR="000C6EF2" w:rsidRDefault="000C6EF2" w:rsidP="005920F8">
      <w:pPr>
        <w:spacing w:line="360" w:lineRule="auto"/>
        <w:jc w:val="both"/>
        <w:rPr>
          <w:rFonts w:ascii="David" w:hAnsi="David"/>
          <w:rtl/>
        </w:rPr>
      </w:pPr>
      <w:r>
        <w:rPr>
          <w:rFonts w:ascii="David" w:hAnsi="David"/>
          <w:rtl/>
        </w:rPr>
        <w:t>בעקבות סכסוך שפרץ בין הצדדים ובמסגרת בקשה ליישוב סכס</w:t>
      </w:r>
      <w:r w:rsidR="005920F8">
        <w:rPr>
          <w:rFonts w:ascii="David" w:hAnsi="David"/>
          <w:rtl/>
        </w:rPr>
        <w:t xml:space="preserve">וך אותה הגיש המשיב, עתר המשיב  </w:t>
      </w:r>
      <w:r>
        <w:rPr>
          <w:rFonts w:ascii="David" w:hAnsi="David"/>
          <w:rtl/>
        </w:rPr>
        <w:t xml:space="preserve">בבקשה לסעד זמני לשמירת מצב קיים שיאסור על המבקשת להעתיק את מקום מגורי הקטין לצפון הארץ, זאת לאחר שהמבקשת הודיעה לו שבכוונתה לעשות כן. </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ביום 7.2.23 ניתן על-ידי ביהמ"ש קמא צו האוסר על המבקשת להעתיק את מקום מגורי הקטין לקריות והתבקשה תגובת המבקשת לבקשה.</w:t>
      </w:r>
    </w:p>
    <w:p w:rsidR="000C6EF2" w:rsidRDefault="000C6EF2" w:rsidP="000C6EF2">
      <w:pPr>
        <w:spacing w:line="360" w:lineRule="auto"/>
        <w:jc w:val="both"/>
        <w:rPr>
          <w:rFonts w:ascii="David" w:hAnsi="David"/>
          <w:rtl/>
        </w:rPr>
      </w:pPr>
      <w:r>
        <w:rPr>
          <w:rFonts w:ascii="David" w:hAnsi="David"/>
          <w:rtl/>
        </w:rPr>
        <w:lastRenderedPageBreak/>
        <w:t xml:space="preserve">ביום 26.2.23 הגישה המבקשת את תגובתה לבקשה לסעד לשמירת המצב הקיים ובמסגרתה הודיעה כי מבלי להודות בטענות המשיב היא תימנע בשלב זה מלבקש את ביטולו של הצו הזמני והיא לא תעשה דבר שיפגע בקשר בין </w:t>
      </w:r>
      <w:r w:rsidR="005920F8">
        <w:rPr>
          <w:rFonts w:ascii="David" w:hAnsi="David"/>
          <w:rtl/>
        </w:rPr>
        <w:t>המשיב לקטין וכי בכוונתה להגיש</w:t>
      </w:r>
      <w:r w:rsidR="005920F8">
        <w:rPr>
          <w:rFonts w:ascii="David" w:hAnsi="David" w:hint="cs"/>
          <w:rtl/>
        </w:rPr>
        <w:t xml:space="preserve">, </w:t>
      </w:r>
      <w:r>
        <w:rPr>
          <w:rFonts w:ascii="David" w:hAnsi="David"/>
          <w:rtl/>
        </w:rPr>
        <w:t>במקביל לתביעה אותה יגיש המשיב (בתום תקופת עיכוב ההליכים), תביעה מסודרת מטעמה בעניינו של הקטין לרבות לקביעת מקום מגוריו.</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 xml:space="preserve">לאחר שחלפה </w:t>
      </w:r>
      <w:r w:rsidR="005920F8">
        <w:rPr>
          <w:rFonts w:ascii="David" w:hAnsi="David"/>
          <w:rtl/>
        </w:rPr>
        <w:t xml:space="preserve">תקופת עיכוב ההליכים המשיב הגיש </w:t>
      </w:r>
      <w:r>
        <w:rPr>
          <w:rFonts w:ascii="David" w:hAnsi="David"/>
          <w:rtl/>
        </w:rPr>
        <w:t xml:space="preserve">תביעה שעניינה קביעת המשמורת על הקטין, הסדרי השהות ומקום מגוריו ( </w:t>
      </w:r>
      <w:r w:rsidR="005920F8">
        <w:rPr>
          <w:rFonts w:ascii="David" w:hAnsi="David"/>
          <w:rtl/>
        </w:rPr>
        <w:t xml:space="preserve">תלה"מ 50935-02-23). ביהמ"ש קמא </w:t>
      </w:r>
      <w:r>
        <w:rPr>
          <w:rFonts w:ascii="David" w:hAnsi="David"/>
          <w:rtl/>
        </w:rPr>
        <w:t>חזר והבהיר</w:t>
      </w:r>
      <w:r w:rsidR="005920F8">
        <w:rPr>
          <w:rFonts w:ascii="David" w:hAnsi="David" w:hint="cs"/>
          <w:rtl/>
        </w:rPr>
        <w:t>,</w:t>
      </w:r>
      <w:r>
        <w:rPr>
          <w:rFonts w:ascii="David" w:hAnsi="David"/>
          <w:rtl/>
        </w:rPr>
        <w:t xml:space="preserve"> במסגרת בשתי החלטות שונות שניתנו על ידו באותו הליך</w:t>
      </w:r>
      <w:r w:rsidR="005920F8">
        <w:rPr>
          <w:rFonts w:ascii="David" w:hAnsi="David" w:hint="cs"/>
          <w:rtl/>
        </w:rPr>
        <w:t>,</w:t>
      </w:r>
      <w:r>
        <w:rPr>
          <w:rFonts w:ascii="David" w:hAnsi="David"/>
          <w:rtl/>
        </w:rPr>
        <w:t xml:space="preserve"> כי צו המניעה הזמני שניתן ביום 7.2.23 עו</w:t>
      </w:r>
      <w:r w:rsidR="005920F8">
        <w:rPr>
          <w:rFonts w:ascii="David" w:hAnsi="David"/>
          <w:rtl/>
        </w:rPr>
        <w:t>מד על כנו (החלטה מיום 22.2.23)</w:t>
      </w:r>
      <w:r w:rsidR="005920F8">
        <w:rPr>
          <w:rFonts w:ascii="David" w:hAnsi="David" w:hint="cs"/>
          <w:rtl/>
        </w:rPr>
        <w:t xml:space="preserve">, </w:t>
      </w:r>
      <w:r>
        <w:rPr>
          <w:rFonts w:ascii="David" w:hAnsi="David"/>
          <w:rtl/>
        </w:rPr>
        <w:t>כי נאסר על המבקשת לבצע מהלך חד צדדי ולהעתיק את מקום מגורי הקטין לצפון הארץ וככל שברצון המבקשת לשנות את מקום מגורי הקטין עליה לעתור לכך בתביעה מתאימה להעתקת מקום מגורים שבמסגרתה ייבחנו מכלול הנתונים (החלטה מיום 29.3.23).</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ביום 1.4.23, חרף החלטותיו של ביהמ"ש קמא מהימים 7.2.23 , 22.2.23 ו-29.3.23, עברה המבקשת להתגורר בדירה אותה שכרה בקריית אתא.</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ביום 2.4.23 עתרה המבקשת ב"</w:t>
      </w:r>
      <w:r>
        <w:rPr>
          <w:rFonts w:ascii="David" w:hAnsi="David"/>
          <w:b/>
          <w:bCs/>
          <w:rtl/>
        </w:rPr>
        <w:t>בקשה בהולה לצו זמני</w:t>
      </w:r>
      <w:r>
        <w:rPr>
          <w:rFonts w:ascii="David" w:hAnsi="David"/>
          <w:rtl/>
        </w:rPr>
        <w:t>" במסגרתה עתרה כי תינתן לה המשמורת הזמנית על הקטין וכי לצורך קיום זמני השהות שיקבעו למשיב עם הקטין היא תביא את הקטין באמצעות הרכבת למרכז.</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ביום 3.4.23, לאחר קבלת תגובת המשיב לבקשה (שהוגשה אף היא ביום 3.4.23) דחה ביהמ"ש קמא את בקשת המבקשת, תוך שהוא קובע כדלקמן:</w:t>
      </w:r>
    </w:p>
    <w:p w:rsidR="000C6EF2" w:rsidRDefault="000C6EF2" w:rsidP="000C6EF2">
      <w:pPr>
        <w:jc w:val="both"/>
        <w:rPr>
          <w:rFonts w:ascii="David" w:hAnsi="David"/>
          <w:b/>
          <w:bCs/>
          <w:rtl/>
        </w:rPr>
      </w:pPr>
    </w:p>
    <w:p w:rsidR="000C6EF2" w:rsidRDefault="000C6EF2" w:rsidP="000C6EF2">
      <w:pPr>
        <w:jc w:val="both"/>
        <w:rPr>
          <w:rFonts w:ascii="David" w:hAnsi="David"/>
          <w:b/>
          <w:bCs/>
          <w:rtl/>
        </w:rPr>
      </w:pPr>
      <w:r>
        <w:rPr>
          <w:rFonts w:ascii="David" w:hAnsi="David"/>
          <w:b/>
          <w:bCs/>
          <w:rtl/>
        </w:rPr>
        <w:t>"בהינתן כי עסקינן בקטין כבן 9 חודשים אשר ביהמ"ש אמון על טובתו הרי שמכלול הנתונים נבחנים לרבות טובת הקטין בשמירה על קשר מיטיב עם שני הוריו, טובת הקטין בנסיעה בת מספר שעות בכל פעם שיתקיים מפגש בינו לבין אביו וכיו"ב.</w:t>
      </w:r>
    </w:p>
    <w:p w:rsidR="000C6EF2" w:rsidRDefault="000C6EF2" w:rsidP="000C6EF2">
      <w:pPr>
        <w:jc w:val="both"/>
        <w:rPr>
          <w:rFonts w:ascii="David" w:hAnsi="David"/>
          <w:b/>
          <w:bCs/>
        </w:rPr>
      </w:pPr>
      <w:r>
        <w:rPr>
          <w:rFonts w:ascii="David" w:hAnsi="David"/>
          <w:b/>
          <w:bCs/>
          <w:rtl/>
        </w:rPr>
        <w:t>מטענות האם וההתנהלות בימים האחרונים, עולה חשש כי הצדדים עושים שימוש בקטין ככלי להתנגחות ביניהם.</w:t>
      </w:r>
    </w:p>
    <w:p w:rsidR="000C6EF2" w:rsidRDefault="000C6EF2" w:rsidP="000C6EF2">
      <w:pPr>
        <w:jc w:val="both"/>
        <w:rPr>
          <w:rFonts w:ascii="David" w:hAnsi="David"/>
          <w:b/>
          <w:bCs/>
          <w:rtl/>
        </w:rPr>
      </w:pPr>
      <w:r>
        <w:rPr>
          <w:rFonts w:ascii="David" w:hAnsi="David"/>
          <w:b/>
          <w:bCs/>
          <w:rtl/>
        </w:rPr>
        <w:t>לאחר בחינת הנתונים וכאמור לעיל ועל מנת ליתן מענה נקודתי מורה כדלקמן:</w:t>
      </w:r>
    </w:p>
    <w:p w:rsidR="000C6EF2" w:rsidRDefault="000C6EF2" w:rsidP="000C6EF2">
      <w:pPr>
        <w:pStyle w:val="ad"/>
        <w:numPr>
          <w:ilvl w:val="0"/>
          <w:numId w:val="1"/>
        </w:numPr>
        <w:jc w:val="both"/>
        <w:rPr>
          <w:rFonts w:ascii="David" w:hAnsi="David"/>
          <w:b/>
          <w:bCs/>
          <w:noProof w:val="0"/>
          <w:rtl/>
        </w:rPr>
      </w:pPr>
      <w:r>
        <w:rPr>
          <w:rFonts w:ascii="David" w:hAnsi="David"/>
          <w:b/>
          <w:bCs/>
          <w:noProof w:val="0"/>
          <w:rtl/>
        </w:rPr>
        <w:t xml:space="preserve">צו המניעה שניתן, בעינו עומד ופעולה בניגוד אליו משמעה הפרתו על המשתמע מכך. </w:t>
      </w:r>
    </w:p>
    <w:p w:rsidR="000C6EF2" w:rsidRDefault="000C6EF2" w:rsidP="000C6EF2">
      <w:pPr>
        <w:pStyle w:val="ad"/>
        <w:numPr>
          <w:ilvl w:val="0"/>
          <w:numId w:val="1"/>
        </w:numPr>
        <w:jc w:val="both"/>
        <w:rPr>
          <w:rFonts w:ascii="David" w:hAnsi="David"/>
          <w:b/>
          <w:bCs/>
          <w:noProof w:val="0"/>
          <w:rtl/>
        </w:rPr>
      </w:pPr>
      <w:r>
        <w:rPr>
          <w:rFonts w:ascii="David" w:hAnsi="David"/>
          <w:b/>
          <w:bCs/>
          <w:noProof w:val="0"/>
          <w:rtl/>
        </w:rPr>
        <w:t>כאמור לעיל, מרכז חייו של הקטין בשלב זה ובטרם הוגשה תובענה בעניין הינו העיר חולון ובאזור זה יתקיימו זמני השהות של ההורים עם הקטין; אין זה בטובתו של הקטין לנסוע שעות רבות ברכבת/רכב על מנת לקיים זמני שהות.</w:t>
      </w:r>
    </w:p>
    <w:p w:rsidR="000C6EF2" w:rsidRDefault="000C6EF2" w:rsidP="000C6EF2">
      <w:pPr>
        <w:pStyle w:val="ad"/>
        <w:numPr>
          <w:ilvl w:val="0"/>
          <w:numId w:val="1"/>
        </w:numPr>
        <w:jc w:val="both"/>
        <w:rPr>
          <w:rFonts w:ascii="David" w:hAnsi="David"/>
          <w:b/>
          <w:bCs/>
          <w:noProof w:val="0"/>
        </w:rPr>
      </w:pPr>
      <w:r>
        <w:rPr>
          <w:rFonts w:ascii="David" w:hAnsi="David"/>
          <w:b/>
          <w:bCs/>
          <w:noProof w:val="0"/>
          <w:rtl/>
        </w:rPr>
        <w:lastRenderedPageBreak/>
        <w:t>מורה כי זמני השהות של הצדדים יתקיימו עם הקטין בבית האב- בדרך של חלוקה שווה בין ההורים. ב"כ הצדדים יגישו הצעה חלוקת הימים בהתאם ללו"ז של האב והאם.</w:t>
      </w:r>
    </w:p>
    <w:p w:rsidR="000C6EF2" w:rsidRDefault="000C6EF2" w:rsidP="000C6EF2">
      <w:pPr>
        <w:pStyle w:val="ad"/>
        <w:numPr>
          <w:ilvl w:val="0"/>
          <w:numId w:val="1"/>
        </w:numPr>
        <w:jc w:val="both"/>
        <w:rPr>
          <w:rFonts w:ascii="David" w:hAnsi="David"/>
          <w:b/>
          <w:bCs/>
          <w:noProof w:val="0"/>
        </w:rPr>
      </w:pPr>
      <w:r>
        <w:rPr>
          <w:rFonts w:ascii="David" w:hAnsi="David"/>
          <w:b/>
          <w:bCs/>
          <w:noProof w:val="0"/>
          <w:rtl/>
        </w:rPr>
        <w:t xml:space="preserve"> ההורים הם שיבואו וילכו</w:t>
      </w:r>
      <w:r w:rsidR="005920F8">
        <w:rPr>
          <w:rFonts w:ascii="David" w:hAnsi="David" w:hint="cs"/>
          <w:b/>
          <w:bCs/>
          <w:noProof w:val="0"/>
          <w:rtl/>
        </w:rPr>
        <w:t xml:space="preserve"> </w:t>
      </w:r>
      <w:r>
        <w:rPr>
          <w:rFonts w:ascii="David" w:hAnsi="David"/>
          <w:b/>
          <w:bCs/>
          <w:noProof w:val="0"/>
          <w:rtl/>
        </w:rPr>
        <w:t>- ואילו הקטין לא ייאלץ להיטלטל מרחק של עשרות קילומטרים.   "</w:t>
      </w:r>
    </w:p>
    <w:p w:rsidR="000C6EF2" w:rsidRDefault="000C6EF2" w:rsidP="000C6EF2">
      <w:pPr>
        <w:spacing w:line="360" w:lineRule="auto"/>
        <w:jc w:val="both"/>
        <w:rPr>
          <w:rFonts w:ascii="David" w:hAnsi="David"/>
          <w:noProof w:val="0"/>
        </w:rPr>
      </w:pP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על החלטה זו מלינה המבקשת בבקשת רשות הערעור שלפניי. לטענת המבקשת מדובר בהחלטה תמוהה, בלתי מנומקת, בלתי מבוססת, הפוגעת בה ובזכויות היסוד שלה כאדם, מנוגדת לחזקת הגיל הרך, מוטעית עובדתית ויוצרת מצב בלתי אפשרי שבו ככל שהיא רוצה להיות עם בנה היא יכולה לעשות זאת רק בעיר חולון, בדירת המשיב, כשאף נמנעת ממנה האפשרות להיעזר בהוריה שאינם יכולים להיכנס לדירת המשיב.</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ביום 4.4.23, בד בבד עם הגשת בקשת רשות הערעור הגישה המבקשת גם בקשה לסעד זמני ולעיכוב ביצוע ההחלטה מושא הבר"ע . בהחלטה מיום 16.4.23, שניתנה לאחר קבלת תגובת המשיב לבקשה דחה בית משפט זה (כב' השופט שילה) את הבקשה.</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b/>
          <w:bCs/>
          <w:u w:val="single"/>
          <w:rtl/>
        </w:rPr>
      </w:pPr>
      <w:r>
        <w:rPr>
          <w:rFonts w:ascii="David" w:hAnsi="David"/>
          <w:b/>
          <w:bCs/>
          <w:u w:val="single"/>
          <w:rtl/>
        </w:rPr>
        <w:t>דיון והכרעה</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לאחר עיון בהחלטה מושא הבר"ע ,בבקשת רשות הערעור על נספחיה, כמו גם בתיק המתנהל בביהמ"ש קמא, מצאתי לדחות את בקשת רשות הערעור ללא צורך במתן תשובה. להלן אנמק את טעמיי:</w:t>
      </w:r>
    </w:p>
    <w:p w:rsidR="000C6EF2" w:rsidRDefault="000C6EF2" w:rsidP="000C6EF2">
      <w:pPr>
        <w:spacing w:line="360" w:lineRule="auto"/>
        <w:jc w:val="both"/>
        <w:rPr>
          <w:rFonts w:ascii="David" w:hAnsi="David"/>
          <w:rtl/>
        </w:rPr>
      </w:pPr>
    </w:p>
    <w:p w:rsidR="000C6EF2" w:rsidRDefault="000C6EF2" w:rsidP="000C6EF2">
      <w:pPr>
        <w:pStyle w:val="ad"/>
        <w:numPr>
          <w:ilvl w:val="0"/>
          <w:numId w:val="2"/>
        </w:numPr>
        <w:spacing w:line="360" w:lineRule="auto"/>
        <w:jc w:val="both"/>
        <w:rPr>
          <w:rFonts w:ascii="David" w:hAnsi="David"/>
          <w:rtl/>
        </w:rPr>
      </w:pPr>
      <w:r>
        <w:rPr>
          <w:rFonts w:ascii="David" w:hAnsi="David"/>
          <w:rtl/>
        </w:rPr>
        <w:t>כידוע, אין זו מדרכה של ערכאת הערעור להתערב בשיקול דעתה של הערכאה הדיונית בכל הנוגע למתן סעד זמני. זו ההלכה לגבי סעדים זמניים באופן כללי ( ראו בח.בן נון וט.חבקין, הערעור האזרחי, מהדורה שלישית, בעמ' 206-207 והאסמכתאות המובאות שם) ובפרט בכל הנוגע לענייי משמורת זמנית או הסדרי שהות זמניים (ראו לדוגמא רמ"ש (ת"א) 14272-05-17 י</w:t>
      </w:r>
      <w:r>
        <w:rPr>
          <w:rFonts w:ascii="David" w:hAnsi="David"/>
          <w:b/>
          <w:bCs/>
          <w:u w:val="single"/>
          <w:rtl/>
        </w:rPr>
        <w:t>.ש. נ' כ.ש.</w:t>
      </w:r>
      <w:r>
        <w:rPr>
          <w:rFonts w:ascii="David" w:hAnsi="David"/>
          <w:rtl/>
        </w:rPr>
        <w:t xml:space="preserve">, פורסם בנבו 29.6.17; רמ"ש </w:t>
      </w:r>
      <w:r>
        <w:rPr>
          <w:rFonts w:ascii="David" w:eastAsiaTheme="minorHAnsi" w:hAnsi="David"/>
          <w:rtl/>
        </w:rPr>
        <w:t xml:space="preserve">43639-07-17 </w:t>
      </w:r>
      <w:r>
        <w:rPr>
          <w:rFonts w:ascii="David" w:eastAsiaTheme="minorHAnsi" w:hAnsi="David"/>
          <w:b/>
          <w:bCs/>
          <w:u w:val="single"/>
          <w:rtl/>
        </w:rPr>
        <w:t>פלונית נ' פלוני</w:t>
      </w:r>
      <w:r>
        <w:rPr>
          <w:rFonts w:ascii="David" w:eastAsiaTheme="minorHAnsi" w:hAnsi="David"/>
          <w:rtl/>
        </w:rPr>
        <w:t>, פורסם בנבו 9.8.17 ).</w:t>
      </w:r>
      <w:r>
        <w:rPr>
          <w:rFonts w:ascii="David" w:hAnsi="David"/>
          <w:rtl/>
        </w:rPr>
        <w:t xml:space="preserve"> כפי שיובהר להלן לא מצאתי כי במקרה זה קיימים טעמים לחריגה מהכלל.</w:t>
      </w:r>
    </w:p>
    <w:p w:rsidR="000C6EF2" w:rsidRDefault="000C6EF2" w:rsidP="000C6EF2">
      <w:pPr>
        <w:spacing w:line="360" w:lineRule="auto"/>
        <w:jc w:val="both"/>
        <w:rPr>
          <w:rFonts w:ascii="David" w:hAnsi="David"/>
        </w:rPr>
      </w:pPr>
    </w:p>
    <w:p w:rsidR="000C6EF2" w:rsidRDefault="000C6EF2" w:rsidP="000C6EF2">
      <w:pPr>
        <w:pStyle w:val="ad"/>
        <w:numPr>
          <w:ilvl w:val="0"/>
          <w:numId w:val="2"/>
        </w:numPr>
        <w:spacing w:line="360" w:lineRule="auto"/>
        <w:jc w:val="both"/>
        <w:rPr>
          <w:rFonts w:ascii="David" w:hAnsi="David"/>
        </w:rPr>
      </w:pPr>
      <w:r>
        <w:rPr>
          <w:rFonts w:ascii="David" w:hAnsi="David"/>
          <w:rtl/>
        </w:rPr>
        <w:t xml:space="preserve">החלטת ביהמ"ש קמא מושא הבר"ע לא שינתה את המצב הקיים בכל הנוגע למקום מגורי הקטין. מאז לידתו ועד לפירודם התגוררו הצדדים והקטין בעיר חולון כך שקביעת ביהמ"ש </w:t>
      </w:r>
      <w:r>
        <w:rPr>
          <w:rFonts w:ascii="David" w:hAnsi="David"/>
          <w:rtl/>
        </w:rPr>
        <w:lastRenderedPageBreak/>
        <w:t xml:space="preserve">קמא לפיה מרכז חיי הקטין בשלב זה הינו בעיר חולון היא קביעה עובדתית שלא יכול להיות עליה חולק. החלטת ביהמ"ש קמא שלא להתיר בשלב זה שינוי מקום מגורי הקטין אף היא אינה בגדר החלטה שמשנה מצב קיים שהרי זו המשמעות של הצו הזמני שניתן ע"י ביהמ"ש קמא עוד ביום 7.2.23, שניתן בשעתו בהיעדר התנגדותה של המבקשת (כאמור, המבקשת בתגובתה מיום 26.2.23 הודיעה כי אינה מבקשת לבטלו) וההחלטות מיום 22.2.23 ו-29.3.23 אותן סקרתי לעיל. </w:t>
      </w:r>
    </w:p>
    <w:p w:rsidR="000C6EF2" w:rsidRDefault="000C6EF2" w:rsidP="000C6EF2">
      <w:pPr>
        <w:pStyle w:val="ad"/>
        <w:rPr>
          <w:rFonts w:ascii="David" w:hAnsi="David"/>
        </w:rPr>
      </w:pPr>
    </w:p>
    <w:p w:rsidR="000C6EF2" w:rsidRDefault="000C6EF2" w:rsidP="000C6EF2">
      <w:pPr>
        <w:pStyle w:val="ad"/>
        <w:spacing w:line="360" w:lineRule="auto"/>
        <w:jc w:val="both"/>
        <w:rPr>
          <w:rFonts w:ascii="David" w:hAnsi="David"/>
          <w:rtl/>
        </w:rPr>
      </w:pPr>
    </w:p>
    <w:p w:rsidR="000C6EF2" w:rsidRDefault="000C6EF2" w:rsidP="000C6EF2">
      <w:pPr>
        <w:pStyle w:val="ad"/>
        <w:jc w:val="both"/>
        <w:rPr>
          <w:rFonts w:ascii="David" w:hAnsi="David"/>
        </w:rPr>
      </w:pPr>
    </w:p>
    <w:p w:rsidR="000C6EF2" w:rsidRDefault="000C6EF2" w:rsidP="000C6EF2">
      <w:pPr>
        <w:pStyle w:val="ad"/>
        <w:numPr>
          <w:ilvl w:val="0"/>
          <w:numId w:val="2"/>
        </w:numPr>
        <w:spacing w:line="360" w:lineRule="auto"/>
        <w:jc w:val="both"/>
        <w:rPr>
          <w:rFonts w:ascii="David" w:hAnsi="David"/>
          <w:rtl/>
        </w:rPr>
      </w:pPr>
      <w:r>
        <w:rPr>
          <w:rFonts w:ascii="David" w:hAnsi="David"/>
          <w:rtl/>
        </w:rPr>
        <w:t>עוד בתגובתה של המבקשת מיום 26.2.23 לבקשת המשיב למתן צו לשמירת המצב הקיים שיאסור עליה לשנות את מקום מגורי הקטין, הודיעה המבקשת כי בכוונתה להגיש תביעה לשינוי מקום מגורי הקטין. ביהמ"ש קמא אף הוא הורה למבקשת לעשות כן, ככל שרצונה בסע</w:t>
      </w:r>
      <w:r w:rsidR="009A4C7B">
        <w:rPr>
          <w:rFonts w:ascii="David" w:hAnsi="David"/>
          <w:rtl/>
        </w:rPr>
        <w:t xml:space="preserve">ד שכזה (בהחלטה מיום 29.3.23). </w:t>
      </w:r>
      <w:r>
        <w:rPr>
          <w:rFonts w:ascii="David" w:hAnsi="David"/>
          <w:rtl/>
        </w:rPr>
        <w:t xml:space="preserve">המבקשת טוענת כי ביהמ"ש קמא שגה עובדתית כשציין בהחלטתו שטרם הוגשה תביעה בעניין. ברם, המבקשת אינה מציינת בבקשת רשות הערעור שלפניי מתי הגישה את תביעתה. עיון בבקשת המבקשת שהייתה לפני ביהמ"ש קמא מגלה כי המבקשת לא ציינה במסגרתה את העובדה שהגישה תביעה לקביעת מקום מגורי הקטין. עיון במערכת נט המשפט מגלה כי המבקשת לא ציינה עובדה זו מהטעם הפשוט שאת תביעתה הגישה רק </w:t>
      </w:r>
      <w:r>
        <w:rPr>
          <w:rFonts w:ascii="David" w:hAnsi="David"/>
          <w:b/>
          <w:bCs/>
          <w:rtl/>
        </w:rPr>
        <w:t>לאחר</w:t>
      </w:r>
      <w:r>
        <w:rPr>
          <w:rFonts w:ascii="David" w:hAnsi="David"/>
          <w:rtl/>
        </w:rPr>
        <w:t xml:space="preserve"> שהגישה את בקשתה לסעד זמני שהייתה לפני ביהמ"ש קמא ( הבקשה לצו מניעה זמני הוגשה ביום 2.4.23 בשעה 9:54 ואלו תביעתה של המבקשת במסגרתה עתרה לקביעת מקום מגורי הקטין, תלה"מ 1166-04-23 , הוגשה ביום 2.4.23 בשעה 10:26). למותר לציין שהמבקשת לא טרחה לעדכן את ביהמ"ש קמא, לאחר הגשת בקשתה וטרם נתן את החלטתו, בדבר הגשת תביעתה הנ"ל. מכל מקום, גם אם עובדה זו הייתה מונחת לפני ביהמ"ש קמא לא היה בה כדי לשנות את התוצאה לה הגיע ביהמ"ש קמא שכן הגשת תביעה לשינוי מקום מגורי הקטין אינה מקנה בידי מגישה סעד זמני ברוח התביעה אותה הגיש.</w:t>
      </w:r>
    </w:p>
    <w:p w:rsidR="000C6EF2" w:rsidRDefault="000C6EF2" w:rsidP="000C6EF2">
      <w:pPr>
        <w:pStyle w:val="ad"/>
        <w:spacing w:line="360" w:lineRule="auto"/>
        <w:jc w:val="both"/>
        <w:rPr>
          <w:rFonts w:ascii="David" w:hAnsi="David"/>
        </w:rPr>
      </w:pPr>
    </w:p>
    <w:p w:rsidR="000C6EF2" w:rsidRDefault="000C6EF2" w:rsidP="000C6EF2">
      <w:pPr>
        <w:pStyle w:val="ad"/>
        <w:numPr>
          <w:ilvl w:val="0"/>
          <w:numId w:val="2"/>
        </w:numPr>
        <w:spacing w:line="360" w:lineRule="auto"/>
        <w:jc w:val="both"/>
        <w:rPr>
          <w:rFonts w:ascii="David" w:hAnsi="David"/>
        </w:rPr>
      </w:pPr>
      <w:r>
        <w:rPr>
          <w:rFonts w:ascii="David" w:hAnsi="David"/>
          <w:rtl/>
        </w:rPr>
        <w:t>ביהמ"ש קמא בהחלטתו לא חייב את המבקשת לקיים את הסדרי השהות שלה עם הקטין בביתו של המשיב דווקא. ביהמ"ש קמא ציין בהחלטתו כי בשלב זה יתקיימו הסדרי השהות של הצדדים עם הקטין ב</w:t>
      </w:r>
      <w:r w:rsidRPr="009A4C7B">
        <w:rPr>
          <w:rFonts w:ascii="David" w:hAnsi="David"/>
          <w:u w:val="single"/>
          <w:rtl/>
        </w:rPr>
        <w:t>איזור</w:t>
      </w:r>
      <w:r>
        <w:rPr>
          <w:rFonts w:ascii="David" w:hAnsi="David"/>
          <w:rtl/>
        </w:rPr>
        <w:t xml:space="preserve"> העיר חולון (פסקה ב' להחלטה) . ביהמ"ש קמא לא מנע מהמבקשת לשכור דירה באיזור העיר חולון או להציע אלטרנטיבה אחרת, מקומית, בה תוכל לשהות עם הקטין במהלך זמני השהייה שלה עמו.</w:t>
      </w:r>
    </w:p>
    <w:p w:rsidR="000C6EF2" w:rsidRDefault="000C6EF2" w:rsidP="000C6EF2">
      <w:pPr>
        <w:pStyle w:val="ad"/>
        <w:jc w:val="both"/>
        <w:rPr>
          <w:rFonts w:ascii="David" w:hAnsi="David"/>
        </w:rPr>
      </w:pPr>
    </w:p>
    <w:p w:rsidR="000C6EF2" w:rsidRDefault="000C6EF2" w:rsidP="000C6EF2">
      <w:pPr>
        <w:pStyle w:val="ad"/>
        <w:numPr>
          <w:ilvl w:val="0"/>
          <w:numId w:val="2"/>
        </w:numPr>
        <w:spacing w:line="360" w:lineRule="auto"/>
        <w:jc w:val="both"/>
        <w:rPr>
          <w:rFonts w:ascii="David" w:hAnsi="David"/>
          <w:rtl/>
        </w:rPr>
      </w:pPr>
      <w:r>
        <w:rPr>
          <w:rFonts w:ascii="David" w:hAnsi="David"/>
          <w:rtl/>
        </w:rPr>
        <w:t>לא הצלחתי לרדת לסוף דעתה של המבקשת מדוע היא סבורה שיש בהחלטה "</w:t>
      </w:r>
      <w:r>
        <w:rPr>
          <w:rFonts w:ascii="David" w:hAnsi="David"/>
          <w:b/>
          <w:bCs/>
          <w:rtl/>
        </w:rPr>
        <w:t>התעלמות מוחלטת מחזקת הגיל הרך"</w:t>
      </w:r>
      <w:r w:rsidR="009A4C7B">
        <w:rPr>
          <w:rFonts w:ascii="David" w:hAnsi="David"/>
          <w:rtl/>
        </w:rPr>
        <w:t xml:space="preserve">. </w:t>
      </w:r>
      <w:r>
        <w:rPr>
          <w:rFonts w:ascii="David" w:hAnsi="David"/>
          <w:rtl/>
        </w:rPr>
        <w:t>הצדדים חלוקים למי מהם תינתן המשמורת על הקטין (כשהמשיב מצדו עותר בתביעתו למשמורת משותפת). המבקשת טרם נקבעה כבעלת המשמורת על הקטין ואף משמורת זמנית לא ניתנה בידיה. אפילו הייתה ניתנת המשמורת הזמנית בידי המבקשת, עפ"י עתירתה בבקשתה שהייתה לפני ביהמ"ש קמא – כלום הייתה רשאית מכוח מעמד זה לשנות את מקום מגורי הקטין שלא בהסכמת המשיב וללא אישור בית המשפט ( ובעניינ</w:t>
      </w:r>
      <w:r w:rsidR="009A4C7B">
        <w:rPr>
          <w:rFonts w:ascii="David" w:hAnsi="David" w:hint="cs"/>
          <w:rtl/>
        </w:rPr>
        <w:t>נ</w:t>
      </w:r>
      <w:r>
        <w:rPr>
          <w:rFonts w:ascii="David" w:hAnsi="David"/>
          <w:rtl/>
        </w:rPr>
        <w:t>ו אף בהתעלם מצו מניעה מפורש שאוסר עליה לעשות כן) ? התשובה לכך היא בלאו מוחלט. חזקת הגיל הרך אינה מקנה בידי האם כל רשות לפעול תוך כדי הליך משפטי שעוסק בשאלת המשמורת על הקטין וקביעת מקום מגוריו (ושעה שמחלוקות בעניין זה תלויו</w:t>
      </w:r>
      <w:r w:rsidR="009A4C7B">
        <w:rPr>
          <w:rFonts w:ascii="David" w:hAnsi="David"/>
          <w:rtl/>
        </w:rPr>
        <w:t>ת ועומדות) לקביעת עובדות בשטח</w:t>
      </w:r>
      <w:r w:rsidR="009A4C7B">
        <w:rPr>
          <w:rFonts w:ascii="David" w:hAnsi="David" w:hint="cs"/>
          <w:rtl/>
        </w:rPr>
        <w:t xml:space="preserve">, </w:t>
      </w:r>
      <w:r>
        <w:rPr>
          <w:rFonts w:ascii="David" w:hAnsi="David"/>
          <w:rtl/>
        </w:rPr>
        <w:t xml:space="preserve">לבצע מחטף ולשנות את מקום מגורי הקטין למקום מגוריה שלה. הפסיקה קובעת כי בהיעדר הסכמה על ההורה המבקש לשנות את מקום מגוריו של הקטין לקחת בחשבון כי מעברו לא יותר לפני שיקויים הליך משפטי בנדון (ראו לדוגמא בע"א 2266/93 </w:t>
      </w:r>
      <w:r>
        <w:rPr>
          <w:rFonts w:ascii="David" w:hAnsi="David"/>
          <w:b/>
          <w:bCs/>
          <w:u w:val="single"/>
          <w:rtl/>
        </w:rPr>
        <w:t>פלוני נ' פלוני</w:t>
      </w:r>
      <w:r>
        <w:rPr>
          <w:rFonts w:ascii="David" w:hAnsi="David"/>
          <w:rtl/>
        </w:rPr>
        <w:t xml:space="preserve">, פ"ד מט (1) 223, בעמ' 240; תמ"ש (י-ם) 12820/06 </w:t>
      </w:r>
      <w:r>
        <w:rPr>
          <w:rFonts w:ascii="David" w:hAnsi="David"/>
          <w:b/>
          <w:bCs/>
          <w:u w:val="single"/>
          <w:rtl/>
        </w:rPr>
        <w:t>ג.ק. נ' ע.ק.</w:t>
      </w:r>
      <w:r>
        <w:rPr>
          <w:rFonts w:ascii="David" w:hAnsi="David"/>
          <w:rtl/>
        </w:rPr>
        <w:t xml:space="preserve">, פורסם בנבו 16.8.06; תמ"ש ( ת"א) 36000/06 </w:t>
      </w:r>
      <w:r>
        <w:rPr>
          <w:rFonts w:ascii="David" w:hAnsi="David"/>
          <w:b/>
          <w:bCs/>
          <w:u w:val="single"/>
          <w:rtl/>
        </w:rPr>
        <w:t>נ.ר. נ' ש.ר.מ</w:t>
      </w:r>
      <w:r>
        <w:rPr>
          <w:rFonts w:ascii="David" w:hAnsi="David"/>
          <w:rtl/>
        </w:rPr>
        <w:t xml:space="preserve">, פורסם בנבו, 15.7.09).  אף בפסה"ד לו הפנתה המבקשת , בע"מ 1858/14 </w:t>
      </w:r>
      <w:r>
        <w:rPr>
          <w:rFonts w:ascii="David" w:hAnsi="David"/>
          <w:b/>
          <w:bCs/>
          <w:u w:val="single"/>
          <w:rtl/>
        </w:rPr>
        <w:t>פלוני נ' פלונית</w:t>
      </w:r>
      <w:r>
        <w:rPr>
          <w:rFonts w:ascii="David" w:hAnsi="David"/>
          <w:rtl/>
        </w:rPr>
        <w:t xml:space="preserve"> (פורסם בנבו, 3.4.14) שאותו אף צירפה כנספח נפרד לבר"ע, לא נקבע אחרת. ההפך הוא הנכון. ברקע העובדתי בפסה"ד, בפסקאות ג'-ה',  מתואר שבאותו המקרה אף לאחר שהאם שם קיבלה את המשמורת הזמנית על הקטין (שלא כמו בעניינו) ולאחר שהאם העתיקה בלא תיאום את מקום מגוריה כשהקטין בחזקתה (מנצרת עלית לבת-ים) התערבה הערכאה הדיונית והורתה על החזרת הקטין לאלתר לנצרת עילית או לכל ישוב אחר בסביבה הקרובה. בקשה לעיכוב ביצוע שהאם שם הגישה בשעתו  במסגרת רשות ערעור שהגישה על ההחלטה נדחתה, ובמסגרת הדיון בבקשת רשות הערעור הגיעו הצדדים להסכמה כי האם תחזור לגור באיזור לא רחוק מנצרת עלית.</w:t>
      </w:r>
    </w:p>
    <w:p w:rsidR="000C6EF2" w:rsidRDefault="000C6EF2" w:rsidP="000C6EF2">
      <w:pPr>
        <w:pStyle w:val="ad"/>
        <w:spacing w:line="360" w:lineRule="auto"/>
        <w:jc w:val="both"/>
        <w:rPr>
          <w:rFonts w:ascii="David" w:hAnsi="David"/>
        </w:rPr>
      </w:pPr>
    </w:p>
    <w:p w:rsidR="000C6EF2" w:rsidRDefault="000C6EF2" w:rsidP="000C6EF2">
      <w:pPr>
        <w:pStyle w:val="ad"/>
        <w:numPr>
          <w:ilvl w:val="0"/>
          <w:numId w:val="2"/>
        </w:numPr>
        <w:spacing w:line="360" w:lineRule="auto"/>
        <w:jc w:val="both"/>
        <w:rPr>
          <w:rFonts w:ascii="David" w:hAnsi="David"/>
        </w:rPr>
      </w:pPr>
      <w:r>
        <w:rPr>
          <w:rFonts w:ascii="David" w:hAnsi="David"/>
          <w:rtl/>
        </w:rPr>
        <w:t xml:space="preserve">במסגרת בקשת רשות הערעור טוענת המבקשת כי מוטל על ביהמ"ש קמא למצוא הסדר ביניים על בסיס ההנחה כי היא גרה בקריות והאב בחולון. טענה זו מקובלת עליי. הדבר אינו עומד בסתירה להחלטת ביהמ"ש קמא שלא הסכים להיעתר לבקשת המבקשת בבקשתה לקבוע הסדר ביניים במסגרתו הקטין, שהוא כאמור תינוק שטרם מלאה לו שנה, יעבור למשמורתה הזמנית ויטולטל מספר פעמים כל שבוע במשך שעות בנסיעות בתחבורה ציבורית לשם קיום הסדרי השהות שלו עם אביו המשיב, משלא מצא כי הדבר עולה בקנה אחד עם טובת הקטין. זכותה של המבקשת לנהל את חייה כרצונה ולעבור להתגורר בקריות סמוך </w:t>
      </w:r>
      <w:r>
        <w:rPr>
          <w:rFonts w:ascii="David" w:hAnsi="David"/>
          <w:rtl/>
        </w:rPr>
        <w:lastRenderedPageBreak/>
        <w:t xml:space="preserve">למשפחתה צריכה לזכות למשקל לצד בחינת זכותו של המשיב לשמור על קשר רציף עם הקטין, כפי שהיה עד כה, ובחינת טובת הקטין אינה יכולה להתבצע במנותק מאלו. כפי שהבהיר ביהמ"ש קמא בהחלטה מיום 7.5.23 (שניתנה לאחר הגשת הבר"ע ולה נחשפתי מעיון בתיק המתנהל בביהמ"ש קמא)  בשלב זה מצא ביהמ"ש קמא לתת משקל משמעותי </w:t>
      </w:r>
      <w:r>
        <w:rPr>
          <w:rFonts w:ascii="David" w:hAnsi="David"/>
          <w:b/>
          <w:bCs/>
          <w:rtl/>
        </w:rPr>
        <w:t>"למניעת טלטול הפעוט הקטן בנסיעות רבות מהצפון למרכז ומהרציונל שלא לחשוף את הקטין לסכנה שבנסיעות מרובות בכבישי הארץ"</w:t>
      </w:r>
      <w:r>
        <w:rPr>
          <w:rFonts w:ascii="David" w:hAnsi="David"/>
          <w:rtl/>
        </w:rPr>
        <w:t xml:space="preserve">.  איני יכול לומר שמדובר בשיקול זר שעל ביהמ"ש קמא היה להימנע מלשקול אותו או כי לאור המשקל שקיבל שיקול זה במסגרת ההחלטה, יש להתערב בה ולבטלה. </w:t>
      </w:r>
    </w:p>
    <w:p w:rsidR="000C6EF2" w:rsidRDefault="000C6EF2" w:rsidP="000C6EF2">
      <w:pPr>
        <w:pStyle w:val="ad"/>
        <w:spacing w:line="360" w:lineRule="auto"/>
        <w:jc w:val="both"/>
        <w:rPr>
          <w:rFonts w:ascii="David" w:hAnsi="David"/>
        </w:rPr>
      </w:pPr>
    </w:p>
    <w:p w:rsidR="000C6EF2" w:rsidRDefault="000C6EF2" w:rsidP="000C6EF2">
      <w:pPr>
        <w:pStyle w:val="ad"/>
        <w:numPr>
          <w:ilvl w:val="0"/>
          <w:numId w:val="2"/>
        </w:numPr>
        <w:spacing w:line="360" w:lineRule="auto"/>
        <w:jc w:val="both"/>
        <w:rPr>
          <w:rFonts w:ascii="David" w:hAnsi="David"/>
        </w:rPr>
      </w:pPr>
      <w:r>
        <w:rPr>
          <w:rFonts w:ascii="David" w:hAnsi="David"/>
          <w:rtl/>
        </w:rPr>
        <w:t>מעיון בתיק המתנהל בביהמ"ש קמא למדתי כי בעוד פרק זמן קצר ביותר, בשבוע הבא, קבועה לצדדים ישיבת קדם משפט ראשונה בתביעה. ביהמ"ש קמא אף ציין בהחלטה מיום 7.5.23 כי במסגרת אותה ישיבה ידון בבקשת המבקשת לנטילת הקטין צפונה במהלך סופי שבוע שבו הוא שוהה עמה. באותה החלטה אף קבע ביהמ"ש קמא הסדרי שהות זמניים שונים שיחולו עד למועד הדיון. לא בכדי נקבע כי</w:t>
      </w:r>
      <w:r>
        <w:rPr>
          <w:rFonts w:ascii="David" w:hAnsi="David"/>
          <w:b/>
          <w:bCs/>
          <w:rtl/>
        </w:rPr>
        <w:t xml:space="preserve"> </w:t>
      </w:r>
      <w:r>
        <w:rPr>
          <w:rFonts w:ascii="David" w:hAnsi="David"/>
          <w:rtl/>
        </w:rPr>
        <w:t xml:space="preserve">התערבות ערכאת הערעור בהחלטות זמניות תעשה במשורה, בפרט בבקשת רשות ערעור שעוסקות בענייני משפחה. שיקול הדעת המסור לערכאה הראשונה הוא רחב ושינוי החלטות על-ידה נעשה באופן תדיר ובהתאם לנסיבות (ראו לעניין זה בר"ע (ת"א) 1648/07 </w:t>
      </w:r>
      <w:r>
        <w:rPr>
          <w:rFonts w:ascii="David" w:hAnsi="David"/>
          <w:b/>
          <w:bCs/>
          <w:u w:val="single"/>
          <w:rtl/>
        </w:rPr>
        <w:t>ש'ר' נ' י'נ'</w:t>
      </w:r>
      <w:r>
        <w:rPr>
          <w:rFonts w:ascii="David" w:hAnsi="David"/>
          <w:rtl/>
        </w:rPr>
        <w:t xml:space="preserve"> פורסם בנבו, 30.4.08).  נחה דעתי שגם במקרה זה  יש לאפשר לביהמ"ש קמא להמשיך ולבצע את מלאכתו. </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b/>
          <w:bCs/>
          <w:u w:val="single"/>
          <w:rtl/>
        </w:rPr>
      </w:pPr>
      <w:r>
        <w:rPr>
          <w:rFonts w:ascii="David" w:hAnsi="David"/>
          <w:b/>
          <w:bCs/>
          <w:u w:val="single"/>
          <w:rtl/>
        </w:rPr>
        <w:t>סוף דבר</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בקשת רשות הערעור נדחית.</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משלא התבקשה תשובה לבר"ע – איני עושה צו להוצאות.</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המשיב הגיש תשובה לבקשת המבקשת לעיכוב ביצוע ולאור דחיית הבקשה חויבה המבקשת לשלם למשיב הוצאותיו בגין אותה בקשה בסך של 1,500 ₪ (החלטת כב' השופט שילה מיום 16.4.23). ככל שלא תומצא בתוך 7 ימים ממועד מתן החלטתי זו אסמכתא על ביצוע התשלום לידי המשיב, סכום זה בו חויבה המבקשת ינוכה מתוך כספי העירבון שהפקידה, יועבר למשיב באמצעות בא כוחו, ואלו יתרת סכום העירבון תוחזר למבקשת באמצעות בא כוחה.</w:t>
      </w:r>
    </w:p>
    <w:p w:rsidR="000C6EF2" w:rsidRDefault="000C6EF2" w:rsidP="000C6EF2">
      <w:pPr>
        <w:spacing w:line="360" w:lineRule="auto"/>
        <w:jc w:val="both"/>
        <w:rPr>
          <w:rFonts w:ascii="David" w:hAnsi="David"/>
          <w:rtl/>
        </w:rPr>
      </w:pPr>
    </w:p>
    <w:p w:rsidR="000C6EF2" w:rsidRDefault="000C6EF2" w:rsidP="000C6EF2">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0C6EF2" w:rsidRDefault="000C6EF2" w:rsidP="000C6EF2">
      <w:pPr>
        <w:spacing w:line="360" w:lineRule="auto"/>
        <w:jc w:val="both"/>
        <w:rPr>
          <w:rFonts w:ascii="David" w:hAnsi="David"/>
          <w:rtl/>
        </w:rPr>
      </w:pPr>
    </w:p>
    <w:p w:rsidR="000C6EF2" w:rsidRDefault="000C6EF2" w:rsidP="000C6EF2">
      <w:pPr>
        <w:jc w:val="both"/>
        <w:rPr>
          <w:rFonts w:ascii="David" w:hAnsi="David"/>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מאי 2023</w:t>
          </w:r>
        </w:sdtContent>
      </w:sdt>
      <w:r w:rsidR="00005C8B">
        <w:rPr>
          <w:rFonts w:ascii="Arial" w:hAnsi="Arial"/>
          <w:noProof w:val="0"/>
          <w:rtl/>
        </w:rPr>
        <w:t>, בהעדר הצדדים.</w:t>
      </w:r>
    </w:p>
    <w:p w:rsidR="00C43648" w:rsidRDefault="00443A69"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443A69" w:rsidP="00C43648">
      <w:pPr>
        <w:tabs>
          <w:tab w:val="left" w:pos="2553"/>
        </w:tabs>
        <w:ind w:left="5040"/>
      </w:pPr>
      <w:sdt>
        <w:sdtPr>
          <w:rPr>
            <w:rtl/>
          </w:rPr>
          <w:alias w:val="MergeField"/>
          <w:tag w:val="1237"/>
          <w:id w:val="1445883182"/>
        </w:sdtPr>
        <w:sdtEndPr/>
        <w:sdtContent>
          <w:r w:rsidR="00994005">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A69" w:rsidRDefault="00443A69">
      <w:r>
        <w:separator/>
      </w:r>
    </w:p>
  </w:endnote>
  <w:endnote w:type="continuationSeparator" w:id="0">
    <w:p w:rsidR="00443A69" w:rsidRDefault="0044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424" w:rsidRDefault="00D6142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B90B7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B90B78">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424" w:rsidRDefault="00D6142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A69" w:rsidRDefault="00443A69">
      <w:r>
        <w:separator/>
      </w:r>
    </w:p>
  </w:footnote>
  <w:footnote w:type="continuationSeparator" w:id="0">
    <w:p w:rsidR="00443A69" w:rsidRDefault="00443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424" w:rsidRDefault="00D614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 יפו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43A69" w:rsidP="000C6EF2">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7160-04-23</w:t>
              </w:r>
            </w:sdtContent>
          </w:sdt>
          <w:r w:rsidR="00005C8B">
            <w:rPr>
              <w:b/>
              <w:bCs/>
              <w:noProof w:val="0"/>
              <w:sz w:val="26"/>
              <w:szCs w:val="26"/>
              <w:rtl/>
            </w:rPr>
            <w:t xml:space="preserve"> </w:t>
          </w:r>
          <w:sdt>
            <w:sdtPr>
              <w:rPr>
                <w:rtl/>
              </w:rPr>
              <w:alias w:val="1172"/>
              <w:tag w:val="1172"/>
              <w:id w:val="-595170033"/>
              <w:text w:multiLine="1"/>
            </w:sdtPr>
            <w:sdtEndPr/>
            <w:sdtContent>
              <w:r w:rsidR="000C6EF2">
                <w:rPr>
                  <w:rFonts w:hint="cs"/>
                  <w:b/>
                  <w:bCs/>
                  <w:noProof w:val="0"/>
                  <w:sz w:val="26"/>
                  <w:szCs w:val="26"/>
                  <w:rtl/>
                </w:rPr>
                <w:t>פלונית נ' אלמוני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424" w:rsidRDefault="00D614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315DD5"/>
    <w:multiLevelType w:val="hybridMultilevel"/>
    <w:tmpl w:val="7A42AD9C"/>
    <w:lvl w:ilvl="0" w:tplc="6E261AE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787F6155"/>
    <w:multiLevelType w:val="hybridMultilevel"/>
    <w:tmpl w:val="93F47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96AF7"/>
    <w:rsid w:val="000B344B"/>
    <w:rsid w:val="000C3B0F"/>
    <w:rsid w:val="000C3B60"/>
    <w:rsid w:val="000C6EF2"/>
    <w:rsid w:val="000E3AF1"/>
    <w:rsid w:val="000F0BC8"/>
    <w:rsid w:val="000F0DD6"/>
    <w:rsid w:val="00107E6D"/>
    <w:rsid w:val="0011194C"/>
    <w:rsid w:val="0011424C"/>
    <w:rsid w:val="001367BC"/>
    <w:rsid w:val="00144D2A"/>
    <w:rsid w:val="0014653E"/>
    <w:rsid w:val="00180519"/>
    <w:rsid w:val="00191C82"/>
    <w:rsid w:val="001C4003"/>
    <w:rsid w:val="001D4DBF"/>
    <w:rsid w:val="001E2013"/>
    <w:rsid w:val="001E75CA"/>
    <w:rsid w:val="00224B9D"/>
    <w:rsid w:val="002265FF"/>
    <w:rsid w:val="00233DF3"/>
    <w:rsid w:val="002450EA"/>
    <w:rsid w:val="002C344E"/>
    <w:rsid w:val="002E5258"/>
    <w:rsid w:val="00307A6A"/>
    <w:rsid w:val="00307C40"/>
    <w:rsid w:val="00320433"/>
    <w:rsid w:val="003230C7"/>
    <w:rsid w:val="00327CB2"/>
    <w:rsid w:val="00327E50"/>
    <w:rsid w:val="0033597A"/>
    <w:rsid w:val="00340B73"/>
    <w:rsid w:val="00344A81"/>
    <w:rsid w:val="00362612"/>
    <w:rsid w:val="0036743F"/>
    <w:rsid w:val="003715DD"/>
    <w:rsid w:val="003823E0"/>
    <w:rsid w:val="003A4521"/>
    <w:rsid w:val="003D1C8C"/>
    <w:rsid w:val="0040096C"/>
    <w:rsid w:val="00414F1F"/>
    <w:rsid w:val="0043125D"/>
    <w:rsid w:val="0043502B"/>
    <w:rsid w:val="00443A69"/>
    <w:rsid w:val="004443AC"/>
    <w:rsid w:val="004C4BDF"/>
    <w:rsid w:val="004D1187"/>
    <w:rsid w:val="004E1987"/>
    <w:rsid w:val="004E2E15"/>
    <w:rsid w:val="004E4BA7"/>
    <w:rsid w:val="004E6E3C"/>
    <w:rsid w:val="004F14F0"/>
    <w:rsid w:val="00520898"/>
    <w:rsid w:val="00524986"/>
    <w:rsid w:val="005268F6"/>
    <w:rsid w:val="00547DB7"/>
    <w:rsid w:val="005920F8"/>
    <w:rsid w:val="005F4F09"/>
    <w:rsid w:val="0061431B"/>
    <w:rsid w:val="00622BAA"/>
    <w:rsid w:val="006306CF"/>
    <w:rsid w:val="00644E9A"/>
    <w:rsid w:val="00665A77"/>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24370"/>
    <w:rsid w:val="00827AC9"/>
    <w:rsid w:val="00844318"/>
    <w:rsid w:val="00870890"/>
    <w:rsid w:val="00873602"/>
    <w:rsid w:val="00875D12"/>
    <w:rsid w:val="00896889"/>
    <w:rsid w:val="008A0AB1"/>
    <w:rsid w:val="008C5714"/>
    <w:rsid w:val="008D10B2"/>
    <w:rsid w:val="00903896"/>
    <w:rsid w:val="00906F3D"/>
    <w:rsid w:val="0094424E"/>
    <w:rsid w:val="00952191"/>
    <w:rsid w:val="009605B3"/>
    <w:rsid w:val="009622DF"/>
    <w:rsid w:val="00967DFF"/>
    <w:rsid w:val="00994005"/>
    <w:rsid w:val="00994341"/>
    <w:rsid w:val="009A376F"/>
    <w:rsid w:val="009A4C7B"/>
    <w:rsid w:val="009D7E8E"/>
    <w:rsid w:val="009F323C"/>
    <w:rsid w:val="00A125FF"/>
    <w:rsid w:val="00A3392B"/>
    <w:rsid w:val="00A40B04"/>
    <w:rsid w:val="00A94B64"/>
    <w:rsid w:val="00AA3229"/>
    <w:rsid w:val="00AA65E1"/>
    <w:rsid w:val="00AA7596"/>
    <w:rsid w:val="00AB5E52"/>
    <w:rsid w:val="00AC3B02"/>
    <w:rsid w:val="00AC3B7B"/>
    <w:rsid w:val="00AC5209"/>
    <w:rsid w:val="00AD3AD9"/>
    <w:rsid w:val="00AE7752"/>
    <w:rsid w:val="00AF7FDA"/>
    <w:rsid w:val="00B80CBD"/>
    <w:rsid w:val="00B8194E"/>
    <w:rsid w:val="00B86096"/>
    <w:rsid w:val="00B90B78"/>
    <w:rsid w:val="00BA517C"/>
    <w:rsid w:val="00BB3D05"/>
    <w:rsid w:val="00BB73BE"/>
    <w:rsid w:val="00BE05B2"/>
    <w:rsid w:val="00BF1908"/>
    <w:rsid w:val="00C22D93"/>
    <w:rsid w:val="00C31120"/>
    <w:rsid w:val="00C34482"/>
    <w:rsid w:val="00C43648"/>
    <w:rsid w:val="00C50A9F"/>
    <w:rsid w:val="00C642FA"/>
    <w:rsid w:val="00C83000"/>
    <w:rsid w:val="00CC7622"/>
    <w:rsid w:val="00D11F5C"/>
    <w:rsid w:val="00D27982"/>
    <w:rsid w:val="00D33B86"/>
    <w:rsid w:val="00D53924"/>
    <w:rsid w:val="00D55D0C"/>
    <w:rsid w:val="00D61424"/>
    <w:rsid w:val="00D96D8C"/>
    <w:rsid w:val="00DA4E55"/>
    <w:rsid w:val="00DA6649"/>
    <w:rsid w:val="00DC1259"/>
    <w:rsid w:val="00DC2571"/>
    <w:rsid w:val="00DC487C"/>
    <w:rsid w:val="00DE6BF6"/>
    <w:rsid w:val="00E25884"/>
    <w:rsid w:val="00E31C2B"/>
    <w:rsid w:val="00E5426A"/>
    <w:rsid w:val="00E54642"/>
    <w:rsid w:val="00E90BA2"/>
    <w:rsid w:val="00EC37E9"/>
    <w:rsid w:val="00EE32E3"/>
    <w:rsid w:val="00EF39C0"/>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0C6E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04104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6D34C6" w:rsidP="006D34C6">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C53BE"/>
    <w:rsid w:val="006D34C6"/>
    <w:rsid w:val="008A1B90"/>
    <w:rsid w:val="009133C7"/>
    <w:rsid w:val="00924F53"/>
    <w:rsid w:val="00A237F6"/>
    <w:rsid w:val="00AA7CE3"/>
    <w:rsid w:val="00CB2C2C"/>
    <w:rsid w:val="00CD328D"/>
    <w:rsid w:val="00CD521E"/>
    <w:rsid w:val="00E81DB1"/>
    <w:rsid w:val="00EF4350"/>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D34C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6D34C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1725</Words>
  <Characters>8625</Characters>
  <Application>Microsoft Office Word</Application>
  <DocSecurity>0</DocSecurity>
  <Lines>71</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2023-05-11T10:02:00Z</dcterms:created>
  <dcterms:modified xsi:type="dcterms:W3CDTF">2023-05-11T10:02:00Z</dcterms:modified>
</cp:coreProperties>
</file>